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AA2626" w14:paraId="57B54AE8" w14:textId="77777777" w:rsidTr="00050DA7">
        <w:tc>
          <w:tcPr>
            <w:tcW w:w="4428" w:type="dxa"/>
          </w:tcPr>
          <w:p w14:paraId="0F1B392E" w14:textId="77777777" w:rsidR="000348ED" w:rsidRPr="00351F3A" w:rsidRDefault="005D05AC" w:rsidP="002B0236">
            <w:r w:rsidRPr="00351F3A">
              <w:t>From:</w:t>
            </w:r>
            <w:r w:rsidRPr="00351F3A">
              <w:tab/>
            </w:r>
            <w:r w:rsidR="001377C6" w:rsidRPr="00351F3A">
              <w:t xml:space="preserve">VTS </w:t>
            </w:r>
            <w:r w:rsidRPr="00351F3A">
              <w:t>C</w:t>
            </w:r>
            <w:r w:rsidR="00050DA7" w:rsidRPr="00351F3A">
              <w:t>ommittee</w:t>
            </w:r>
          </w:p>
        </w:tc>
        <w:tc>
          <w:tcPr>
            <w:tcW w:w="5461" w:type="dxa"/>
          </w:tcPr>
          <w:p w14:paraId="0A4BE30C" w14:textId="5BAFC68B" w:rsidR="00D64507" w:rsidRDefault="00D64507" w:rsidP="00351F3A">
            <w:pPr>
              <w:jc w:val="right"/>
            </w:pPr>
            <w:r>
              <w:t>DTEC4-</w:t>
            </w:r>
            <w:r w:rsidR="00EB7918">
              <w:t>6.2.2.12</w:t>
            </w:r>
          </w:p>
          <w:p w14:paraId="226D5727" w14:textId="5BEF66E9" w:rsidR="000348ED" w:rsidRPr="00AA2626" w:rsidRDefault="00D64507" w:rsidP="00351F3A">
            <w:pPr>
              <w:jc w:val="right"/>
              <w:rPr>
                <w:highlight w:val="yellow"/>
              </w:rPr>
            </w:pPr>
            <w:r>
              <w:t>(</w:t>
            </w:r>
            <w:r w:rsidR="00351F3A" w:rsidRPr="00351F3A">
              <w:t>VTS57</w:t>
            </w:r>
            <w:r>
              <w:t>-12.3.2)</w:t>
            </w:r>
          </w:p>
        </w:tc>
      </w:tr>
      <w:tr w:rsidR="000348ED" w:rsidRPr="00AA2626" w14:paraId="652E86F6" w14:textId="77777777" w:rsidTr="00050DA7">
        <w:tc>
          <w:tcPr>
            <w:tcW w:w="4428" w:type="dxa"/>
          </w:tcPr>
          <w:p w14:paraId="61079B05" w14:textId="77777777" w:rsidR="000348ED" w:rsidRPr="00351F3A" w:rsidRDefault="005D05AC" w:rsidP="002B0236">
            <w:r w:rsidRPr="00351F3A">
              <w:t>To:</w:t>
            </w:r>
            <w:r w:rsidRPr="00351F3A">
              <w:tab/>
            </w:r>
            <w:r w:rsidR="001377C6" w:rsidRPr="00351F3A">
              <w:t xml:space="preserve">DTEC </w:t>
            </w:r>
            <w:r w:rsidR="00902AA4" w:rsidRPr="00351F3A">
              <w:t>Committee</w:t>
            </w:r>
          </w:p>
        </w:tc>
        <w:tc>
          <w:tcPr>
            <w:tcW w:w="5461" w:type="dxa"/>
          </w:tcPr>
          <w:p w14:paraId="7BD2E881" w14:textId="77777777" w:rsidR="000348ED" w:rsidRPr="00AA2626" w:rsidRDefault="00351F3A" w:rsidP="008F4DC3">
            <w:pPr>
              <w:jc w:val="right"/>
            </w:pPr>
            <w:r w:rsidRPr="00D64507">
              <w:t>21 March</w:t>
            </w:r>
            <w:r w:rsidR="005D05AC" w:rsidRPr="00D64507">
              <w:t xml:space="preserve"> 20</w:t>
            </w:r>
            <w:r w:rsidRPr="00D64507">
              <w:t>25</w:t>
            </w:r>
          </w:p>
        </w:tc>
      </w:tr>
    </w:tbl>
    <w:p w14:paraId="44FC6D00" w14:textId="77777777" w:rsidR="000348ED" w:rsidRPr="00AA2626" w:rsidRDefault="00AA2626" w:rsidP="002B0236">
      <w:pPr>
        <w:pStyle w:val="Title"/>
      </w:pPr>
      <w:r>
        <w:t>LIAISON NOTE</w:t>
      </w:r>
    </w:p>
    <w:p w14:paraId="22EE667A" w14:textId="77777777" w:rsidR="000348ED" w:rsidRPr="00AA2626" w:rsidRDefault="003960EF" w:rsidP="002B0236">
      <w:pPr>
        <w:pStyle w:val="Title"/>
      </w:pPr>
      <w:r w:rsidRPr="00351F3A">
        <w:t>Response to the draft Guideline on Digitalization of Waterways</w:t>
      </w:r>
    </w:p>
    <w:p w14:paraId="2EDE291E" w14:textId="77777777" w:rsidR="0064435F" w:rsidRPr="00AA2626" w:rsidRDefault="008E7A45" w:rsidP="002B0236">
      <w:pPr>
        <w:pStyle w:val="Heading1"/>
      </w:pPr>
      <w:r w:rsidRPr="00AA2626">
        <w:t>INTRODUCTION</w:t>
      </w:r>
    </w:p>
    <w:p w14:paraId="1BDC32BA" w14:textId="77777777" w:rsidR="00F5488F" w:rsidRDefault="00351F3A" w:rsidP="00F5488F">
      <w:pPr>
        <w:pStyle w:val="BodyText"/>
      </w:pPr>
      <w:r>
        <w:t xml:space="preserve">The </w:t>
      </w:r>
      <w:r w:rsidR="00F5488F">
        <w:t xml:space="preserve">VTS </w:t>
      </w:r>
      <w:r>
        <w:t xml:space="preserve">Committee would like to thank DTEC for the liaison note </w:t>
      </w:r>
      <w:r w:rsidR="00F5488F">
        <w:t>on the draft guideline on digitalisation of waterways (DTEC3-11.2.2.9</w:t>
      </w:r>
      <w:r>
        <w:t xml:space="preserve"> and DTEC3-11.2.2.9.1</w:t>
      </w:r>
      <w:r w:rsidR="00F5488F">
        <w:t>). The VTS Committee has rev</w:t>
      </w:r>
      <w:r>
        <w:t>iewed the documents provided as well as</w:t>
      </w:r>
      <w:r w:rsidR="00F5488F">
        <w:t xml:space="preserve"> the action items. Please find our </w:t>
      </w:r>
      <w:r>
        <w:t>comments</w:t>
      </w:r>
      <w:r w:rsidR="00F5488F">
        <w:t xml:space="preserve"> </w:t>
      </w:r>
      <w:r w:rsidR="0060316D">
        <w:t>below</w:t>
      </w:r>
      <w:r w:rsidR="00F5488F">
        <w:t>.</w:t>
      </w:r>
    </w:p>
    <w:p w14:paraId="6992C057" w14:textId="77777777" w:rsidR="00902AA4" w:rsidRPr="00AA2626" w:rsidRDefault="00F5488F" w:rsidP="002B0236">
      <w:pPr>
        <w:pStyle w:val="Heading1"/>
      </w:pPr>
      <w:r>
        <w:t>DISCUSSION</w:t>
      </w:r>
    </w:p>
    <w:p w14:paraId="3DE9C157" w14:textId="77777777" w:rsidR="00F5488F" w:rsidRDefault="00F5488F" w:rsidP="00F5488F">
      <w:pPr>
        <w:pStyle w:val="BodyText"/>
        <w:rPr>
          <w:bCs/>
          <w:lang w:val="en-US"/>
        </w:rPr>
      </w:pPr>
      <w:r w:rsidRPr="0060316D">
        <w:rPr>
          <w:bCs/>
          <w:lang w:val="en-US"/>
        </w:rPr>
        <w:t>The</w:t>
      </w:r>
      <w:r w:rsidR="0060316D">
        <w:rPr>
          <w:bCs/>
          <w:lang w:val="en-US"/>
        </w:rPr>
        <w:t xml:space="preserve"> VTS Committee would like to share the following</w:t>
      </w:r>
      <w:r w:rsidRPr="0060316D">
        <w:rPr>
          <w:bCs/>
          <w:lang w:val="en-US"/>
        </w:rPr>
        <w:t xml:space="preserve"> </w:t>
      </w:r>
      <w:r w:rsidR="0060316D" w:rsidRPr="0060316D">
        <w:rPr>
          <w:bCs/>
          <w:lang w:val="en-US"/>
        </w:rPr>
        <w:t xml:space="preserve">feedback </w:t>
      </w:r>
      <w:r w:rsidR="0060316D">
        <w:rPr>
          <w:bCs/>
          <w:lang w:val="en-US"/>
        </w:rPr>
        <w:t xml:space="preserve">and </w:t>
      </w:r>
      <w:r w:rsidRPr="0060316D">
        <w:rPr>
          <w:bCs/>
          <w:lang w:val="en-US"/>
        </w:rPr>
        <w:t>remarks</w:t>
      </w:r>
      <w:r w:rsidR="00B776A9">
        <w:rPr>
          <w:bCs/>
          <w:lang w:val="en-US"/>
        </w:rPr>
        <w:t xml:space="preserve"> on the early version of the </w:t>
      </w:r>
      <w:r w:rsidR="00B776A9" w:rsidRPr="00282766">
        <w:t>new guideline on Digitalisation of Waterways</w:t>
      </w:r>
      <w:r w:rsidRPr="0060316D">
        <w:rPr>
          <w:bCs/>
          <w:lang w:val="en-US"/>
        </w:rPr>
        <w:t xml:space="preserve"> </w:t>
      </w:r>
      <w:r w:rsidR="00B776A9">
        <w:rPr>
          <w:bCs/>
          <w:lang w:val="en-US"/>
        </w:rPr>
        <w:t>of</w:t>
      </w:r>
      <w:r w:rsidRPr="0060316D">
        <w:rPr>
          <w:bCs/>
          <w:lang w:val="en-US"/>
        </w:rPr>
        <w:t xml:space="preserve"> </w:t>
      </w:r>
      <w:r w:rsidR="0060316D">
        <w:rPr>
          <w:bCs/>
          <w:lang w:val="en-US"/>
        </w:rPr>
        <w:t xml:space="preserve">the </w:t>
      </w:r>
      <w:r w:rsidRPr="0060316D">
        <w:rPr>
          <w:bCs/>
          <w:lang w:val="en-US"/>
        </w:rPr>
        <w:t xml:space="preserve">DTEC </w:t>
      </w:r>
      <w:r w:rsidR="0060316D">
        <w:rPr>
          <w:bCs/>
          <w:lang w:val="en-US"/>
        </w:rPr>
        <w:t>C</w:t>
      </w:r>
      <w:r w:rsidRPr="0060316D">
        <w:rPr>
          <w:bCs/>
          <w:lang w:val="en-US"/>
        </w:rPr>
        <w:t>ommittee</w:t>
      </w:r>
      <w:r w:rsidR="003C7A74">
        <w:rPr>
          <w:bCs/>
          <w:lang w:val="en-US"/>
        </w:rPr>
        <w:t>.</w:t>
      </w:r>
    </w:p>
    <w:p w14:paraId="4BAB0A7C" w14:textId="77777777" w:rsidR="003C7A74" w:rsidRPr="003C7A74" w:rsidRDefault="003C7A74" w:rsidP="00F5488F">
      <w:pPr>
        <w:pStyle w:val="BodyText"/>
        <w:rPr>
          <w:b/>
          <w:bCs/>
          <w:lang w:val="en-US"/>
        </w:rPr>
      </w:pPr>
      <w:r w:rsidRPr="003C7A74">
        <w:rPr>
          <w:b/>
          <w:bCs/>
          <w:lang w:val="en-US"/>
        </w:rPr>
        <w:t>General comments:</w:t>
      </w:r>
    </w:p>
    <w:p w14:paraId="7BBE15C1" w14:textId="77777777" w:rsidR="007A7E72" w:rsidRDefault="00351F3A" w:rsidP="00FF4964">
      <w:pPr>
        <w:pStyle w:val="List1"/>
        <w:numPr>
          <w:ilvl w:val="0"/>
          <w:numId w:val="25"/>
        </w:numPr>
        <w:tabs>
          <w:tab w:val="clear" w:pos="851"/>
        </w:tabs>
        <w:rPr>
          <w:lang w:val="en-GB"/>
        </w:rPr>
      </w:pPr>
      <w:r w:rsidRPr="00351F3A">
        <w:rPr>
          <w:lang w:val="en-GB"/>
        </w:rPr>
        <w:t xml:space="preserve">Although the guideline is aimed to introduce different aspects of waterway digitalisation including digitalisation maturity assessment, digital twins and digital services provided to vessels, </w:t>
      </w:r>
      <w:r>
        <w:rPr>
          <w:lang w:val="en-GB"/>
        </w:rPr>
        <w:t>t</w:t>
      </w:r>
      <w:r w:rsidR="00F5488F" w:rsidRPr="00351F3A">
        <w:rPr>
          <w:rFonts w:hint="eastAsia"/>
          <w:lang w:val="en-GB"/>
        </w:rPr>
        <w:t xml:space="preserve">he </w:t>
      </w:r>
      <w:r w:rsidR="00F5488F" w:rsidRPr="00351F3A">
        <w:rPr>
          <w:lang w:val="en-GB"/>
        </w:rPr>
        <w:t xml:space="preserve">scope of the </w:t>
      </w:r>
      <w:r>
        <w:rPr>
          <w:lang w:val="en-GB"/>
        </w:rPr>
        <w:t xml:space="preserve">guideline </w:t>
      </w:r>
      <w:r w:rsidR="007A7E72">
        <w:rPr>
          <w:lang w:val="en-GB"/>
        </w:rPr>
        <w:t>has not been defined</w:t>
      </w:r>
      <w:r w:rsidR="007A7E72">
        <w:rPr>
          <w:rFonts w:hint="eastAsia"/>
          <w:lang w:val="en-GB"/>
        </w:rPr>
        <w:t>.</w:t>
      </w:r>
    </w:p>
    <w:p w14:paraId="46557DBB" w14:textId="77777777" w:rsidR="00F5488F" w:rsidRPr="00351F3A" w:rsidRDefault="00FB4123" w:rsidP="00FF4964">
      <w:pPr>
        <w:pStyle w:val="List1"/>
        <w:numPr>
          <w:ilvl w:val="0"/>
          <w:numId w:val="25"/>
        </w:numPr>
        <w:tabs>
          <w:tab w:val="clear" w:pos="851"/>
        </w:tabs>
        <w:rPr>
          <w:lang w:val="en-GB"/>
        </w:rPr>
      </w:pPr>
      <w:r>
        <w:rPr>
          <w:lang w:val="en-GB"/>
        </w:rPr>
        <w:t>When developing the guidance further it should be clear that the content should not expand</w:t>
      </w:r>
      <w:r w:rsidRPr="00351F3A">
        <w:rPr>
          <w:lang w:val="en-GB"/>
        </w:rPr>
        <w:t xml:space="preserve"> beyond the IALA responsibility</w:t>
      </w:r>
      <w:r w:rsidR="008D5628" w:rsidRPr="00351F3A">
        <w:rPr>
          <w:lang w:val="en-GB"/>
        </w:rPr>
        <w:t>, e.g. l</w:t>
      </w:r>
      <w:r w:rsidR="00F5488F" w:rsidRPr="00351F3A">
        <w:rPr>
          <w:lang w:val="en-GB"/>
        </w:rPr>
        <w:t>arge portions of the document</w:t>
      </w:r>
      <w:r w:rsidR="007D5B23" w:rsidRPr="00351F3A">
        <w:rPr>
          <w:lang w:val="en-GB"/>
        </w:rPr>
        <w:t>,</w:t>
      </w:r>
      <w:r w:rsidR="00F5488F" w:rsidRPr="00351F3A">
        <w:rPr>
          <w:lang w:val="en-GB"/>
        </w:rPr>
        <w:t xml:space="preserve"> </w:t>
      </w:r>
      <w:r w:rsidR="007D5B23" w:rsidRPr="00351F3A">
        <w:rPr>
          <w:lang w:val="en-GB"/>
        </w:rPr>
        <w:t xml:space="preserve">including the references, </w:t>
      </w:r>
      <w:r w:rsidR="00F5488F" w:rsidRPr="00351F3A">
        <w:rPr>
          <w:lang w:val="en-GB"/>
        </w:rPr>
        <w:t xml:space="preserve">are </w:t>
      </w:r>
      <w:r>
        <w:rPr>
          <w:lang w:val="en-GB"/>
        </w:rPr>
        <w:t>considering inland waterway matters</w:t>
      </w:r>
      <w:r w:rsidR="008D5628" w:rsidRPr="00351F3A">
        <w:rPr>
          <w:lang w:val="en-GB"/>
        </w:rPr>
        <w:t>.</w:t>
      </w:r>
      <w:r w:rsidR="007D5B23" w:rsidRPr="00351F3A">
        <w:rPr>
          <w:lang w:val="en-GB"/>
        </w:rPr>
        <w:t xml:space="preserve"> </w:t>
      </w:r>
    </w:p>
    <w:p w14:paraId="58C54912" w14:textId="2E363791" w:rsidR="00D66A6E" w:rsidRDefault="00D66A6E" w:rsidP="00D66A6E">
      <w:pPr>
        <w:pStyle w:val="List1"/>
        <w:numPr>
          <w:ilvl w:val="0"/>
          <w:numId w:val="25"/>
        </w:numPr>
        <w:tabs>
          <w:tab w:val="clear" w:pos="851"/>
        </w:tabs>
        <w:rPr>
          <w:lang w:val="en-GB"/>
        </w:rPr>
      </w:pPr>
      <w:r>
        <w:rPr>
          <w:lang w:val="en-GB"/>
        </w:rPr>
        <w:t xml:space="preserve">As the guideline seem to focus a lot on the inland waterways and River Information </w:t>
      </w:r>
      <w:r w:rsidR="00CF2EDC">
        <w:rPr>
          <w:lang w:val="en-GB"/>
        </w:rPr>
        <w:t>Services</w:t>
      </w:r>
      <w:r>
        <w:rPr>
          <w:lang w:val="en-GB"/>
        </w:rPr>
        <w:t xml:space="preserve"> (RIS) and less on </w:t>
      </w:r>
      <w:r w:rsidR="004D27F7">
        <w:rPr>
          <w:lang w:val="en-GB"/>
        </w:rPr>
        <w:t xml:space="preserve">VTS. It should be clear that RIS and VTS differs both operationally as well as technically. However, as there are mixed zones with traffic from both coastal and inland waterways, consideration should be made when planning digitalization in such areas.   </w:t>
      </w:r>
    </w:p>
    <w:p w14:paraId="23912516" w14:textId="77777777" w:rsidR="00D66A6E" w:rsidRDefault="00D66A6E" w:rsidP="00D66A6E">
      <w:pPr>
        <w:pStyle w:val="List1"/>
        <w:numPr>
          <w:ilvl w:val="0"/>
          <w:numId w:val="25"/>
        </w:numPr>
        <w:tabs>
          <w:tab w:val="clear" w:pos="851"/>
        </w:tabs>
        <w:rPr>
          <w:lang w:val="en-GB"/>
        </w:rPr>
      </w:pPr>
      <w:r>
        <w:rPr>
          <w:lang w:val="en-GB"/>
        </w:rPr>
        <w:t xml:space="preserve">Regarding existing concepts in maritime domain, </w:t>
      </w:r>
      <w:r w:rsidRPr="00F5488F">
        <w:rPr>
          <w:lang w:val="en-GB"/>
        </w:rPr>
        <w:t xml:space="preserve">IALA is </w:t>
      </w:r>
      <w:r>
        <w:rPr>
          <w:lang w:val="en-GB"/>
        </w:rPr>
        <w:t xml:space="preserve">already </w:t>
      </w:r>
      <w:r w:rsidRPr="00F5488F">
        <w:rPr>
          <w:lang w:val="en-GB"/>
        </w:rPr>
        <w:t>co</w:t>
      </w:r>
      <w:r>
        <w:rPr>
          <w:lang w:val="en-GB"/>
        </w:rPr>
        <w:t>-</w:t>
      </w:r>
      <w:r w:rsidRPr="00F5488F">
        <w:rPr>
          <w:lang w:val="en-GB"/>
        </w:rPr>
        <w:t xml:space="preserve">operating with </w:t>
      </w:r>
      <w:r>
        <w:rPr>
          <w:lang w:val="en-GB"/>
        </w:rPr>
        <w:t>IHO</w:t>
      </w:r>
      <w:r w:rsidRPr="00F5488F">
        <w:rPr>
          <w:lang w:val="en-GB"/>
        </w:rPr>
        <w:t xml:space="preserve"> on developing S100 standards to enhance digitali</w:t>
      </w:r>
      <w:r>
        <w:rPr>
          <w:lang w:val="en-GB"/>
        </w:rPr>
        <w:t>z</w:t>
      </w:r>
      <w:r w:rsidRPr="00F5488F">
        <w:rPr>
          <w:lang w:val="en-GB"/>
        </w:rPr>
        <w:t>ation</w:t>
      </w:r>
      <w:r>
        <w:rPr>
          <w:lang w:val="en-GB"/>
        </w:rPr>
        <w:t xml:space="preserve">. </w:t>
      </w:r>
    </w:p>
    <w:p w14:paraId="124885E7" w14:textId="77777777" w:rsidR="005858CB" w:rsidRDefault="00D66A6E" w:rsidP="00FE77C9">
      <w:pPr>
        <w:pStyle w:val="List1"/>
        <w:numPr>
          <w:ilvl w:val="0"/>
          <w:numId w:val="25"/>
        </w:numPr>
        <w:tabs>
          <w:tab w:val="clear" w:pos="851"/>
        </w:tabs>
        <w:rPr>
          <w:lang w:val="en-GB"/>
        </w:rPr>
      </w:pPr>
      <w:r w:rsidRPr="004D27F7">
        <w:rPr>
          <w:lang w:val="en-GB"/>
        </w:rPr>
        <w:t>The document</w:t>
      </w:r>
      <w:r w:rsidRPr="004D27F7">
        <w:rPr>
          <w:rFonts w:hint="eastAsia"/>
          <w:lang w:val="en-GB"/>
        </w:rPr>
        <w:t xml:space="preserve"> is not </w:t>
      </w:r>
      <w:r w:rsidRPr="004D27F7">
        <w:rPr>
          <w:lang w:val="en-GB"/>
        </w:rPr>
        <w:t xml:space="preserve">structured as </w:t>
      </w:r>
      <w:r w:rsidRPr="004D27F7">
        <w:rPr>
          <w:rFonts w:hint="eastAsia"/>
          <w:lang w:val="en-GB"/>
        </w:rPr>
        <w:t xml:space="preserve">a guideline, it is more an academic paper raising questions and giving answers by the </w:t>
      </w:r>
      <w:r w:rsidRPr="004D27F7">
        <w:rPr>
          <w:lang w:val="en-GB"/>
        </w:rPr>
        <w:t>authors.</w:t>
      </w:r>
      <w:r w:rsidR="00FB4123" w:rsidRPr="004D27F7">
        <w:rPr>
          <w:lang w:val="en-GB"/>
        </w:rPr>
        <w:t xml:space="preserve"> </w:t>
      </w:r>
      <w:r w:rsidR="004D27F7" w:rsidRPr="004D27F7">
        <w:rPr>
          <w:lang w:val="en-GB"/>
        </w:rPr>
        <w:t>The guideline</w:t>
      </w:r>
      <w:r w:rsidR="00FB4123" w:rsidRPr="004D27F7">
        <w:rPr>
          <w:lang w:val="en-GB"/>
        </w:rPr>
        <w:t xml:space="preserve"> should also be </w:t>
      </w:r>
      <w:r w:rsidR="004D27F7" w:rsidRPr="004D27F7">
        <w:rPr>
          <w:lang w:val="en-GB"/>
        </w:rPr>
        <w:t>more user-friendly r</w:t>
      </w:r>
      <w:r w:rsidR="004D27F7">
        <w:rPr>
          <w:lang w:val="en-GB"/>
        </w:rPr>
        <w:t>egarding the</w:t>
      </w:r>
      <w:r w:rsidR="004D27F7" w:rsidRPr="004D27F7">
        <w:rPr>
          <w:lang w:val="en-GB"/>
        </w:rPr>
        <w:t xml:space="preserve"> words and expressions </w:t>
      </w:r>
      <w:r w:rsidR="004D27F7">
        <w:rPr>
          <w:lang w:val="en-GB"/>
        </w:rPr>
        <w:t>used.</w:t>
      </w:r>
      <w:r w:rsidR="00061B92">
        <w:rPr>
          <w:lang w:val="en-GB"/>
        </w:rPr>
        <w:t xml:space="preserve"> </w:t>
      </w:r>
    </w:p>
    <w:p w14:paraId="03459848" w14:textId="2C4D2549" w:rsidR="004D27F7" w:rsidRDefault="00061B92" w:rsidP="00FE77C9">
      <w:pPr>
        <w:pStyle w:val="List1"/>
        <w:numPr>
          <w:ilvl w:val="0"/>
          <w:numId w:val="25"/>
        </w:numPr>
        <w:tabs>
          <w:tab w:val="clear" w:pos="851"/>
        </w:tabs>
        <w:rPr>
          <w:lang w:val="en-GB"/>
        </w:rPr>
      </w:pPr>
      <w:r>
        <w:rPr>
          <w:lang w:val="en-GB"/>
        </w:rPr>
        <w:t xml:space="preserve">Furthermore, </w:t>
      </w:r>
      <w:r w:rsidR="005858CB">
        <w:rPr>
          <w:lang w:val="en-GB"/>
        </w:rPr>
        <w:t xml:space="preserve">as the document </w:t>
      </w:r>
      <w:r w:rsidR="00813B7B">
        <w:rPr>
          <w:lang w:val="en-GB"/>
        </w:rPr>
        <w:t>addresses a range of unrelated subjects, such as</w:t>
      </w:r>
      <w:r>
        <w:rPr>
          <w:lang w:val="en-GB"/>
        </w:rPr>
        <w:t xml:space="preserve"> 1) Digitalization maturity and data models 2) Generic </w:t>
      </w:r>
      <w:proofErr w:type="spellStart"/>
      <w:r>
        <w:rPr>
          <w:lang w:val="en-GB"/>
        </w:rPr>
        <w:t>AtoN</w:t>
      </w:r>
      <w:proofErr w:type="spellEnd"/>
      <w:r>
        <w:rPr>
          <w:lang w:val="en-GB"/>
        </w:rPr>
        <w:t xml:space="preserve"> and VTS applications 3) Out</w:t>
      </w:r>
      <w:r w:rsidR="00AF4560">
        <w:rPr>
          <w:lang w:val="en-GB"/>
        </w:rPr>
        <w:t>look on the future</w:t>
      </w:r>
      <w:r w:rsidR="005858CB">
        <w:rPr>
          <w:lang w:val="en-GB"/>
        </w:rPr>
        <w:t>.</w:t>
      </w:r>
      <w:r w:rsidR="00813B7B">
        <w:rPr>
          <w:lang w:val="en-GB"/>
        </w:rPr>
        <w:t xml:space="preserve"> Which ideally should be treated separately. </w:t>
      </w:r>
    </w:p>
    <w:p w14:paraId="1FEFBFD3" w14:textId="77777777" w:rsidR="00811D80" w:rsidRPr="00811D80" w:rsidRDefault="00891785" w:rsidP="00891785">
      <w:pPr>
        <w:pStyle w:val="List1"/>
        <w:numPr>
          <w:ilvl w:val="0"/>
          <w:numId w:val="25"/>
        </w:numPr>
        <w:tabs>
          <w:tab w:val="clear" w:pos="851"/>
        </w:tabs>
        <w:rPr>
          <w:lang w:val="en-GB"/>
        </w:rPr>
      </w:pPr>
      <w:r>
        <w:rPr>
          <w:szCs w:val="22"/>
          <w:lang w:val="en-GB"/>
        </w:rPr>
        <w:t xml:space="preserve">It should be noted that concerning guidance on digitalization of waterways PAP56 </w:t>
      </w:r>
      <w:r w:rsidRPr="00891785">
        <w:rPr>
          <w:szCs w:val="22"/>
          <w:lang w:val="en-GB"/>
        </w:rPr>
        <w:t>highlighted the need for clearer recommendations on what members are expected to do. It was noted that recommendations should be concrete while guidelines should present possible ways to implement them.</w:t>
      </w:r>
      <w:r>
        <w:rPr>
          <w:szCs w:val="22"/>
          <w:lang w:val="en-GB"/>
        </w:rPr>
        <w:t xml:space="preserve"> </w:t>
      </w:r>
    </w:p>
    <w:p w14:paraId="4B9EC7F0" w14:textId="77777777" w:rsidR="00B40CA4" w:rsidRDefault="00B40CA4" w:rsidP="00B40CA4">
      <w:pPr>
        <w:pStyle w:val="List1"/>
        <w:numPr>
          <w:ilvl w:val="0"/>
          <w:numId w:val="25"/>
        </w:numPr>
        <w:tabs>
          <w:tab w:val="clear" w:pos="851"/>
        </w:tabs>
        <w:rPr>
          <w:lang w:val="en-GB"/>
        </w:rPr>
      </w:pPr>
      <w:r w:rsidRPr="00F5488F">
        <w:rPr>
          <w:rFonts w:hint="eastAsia"/>
          <w:lang w:val="en-GB"/>
        </w:rPr>
        <w:lastRenderedPageBreak/>
        <w:t xml:space="preserve">To enhance </w:t>
      </w:r>
      <w:r w:rsidRPr="00F5488F">
        <w:rPr>
          <w:lang w:val="en-GB"/>
        </w:rPr>
        <w:t>readability,</w:t>
      </w:r>
      <w:r w:rsidRPr="00F5488F">
        <w:rPr>
          <w:rFonts w:hint="eastAsia"/>
          <w:lang w:val="en-GB"/>
        </w:rPr>
        <w:t xml:space="preserve"> </w:t>
      </w:r>
      <w:r>
        <w:rPr>
          <w:lang w:val="en-GB"/>
        </w:rPr>
        <w:t xml:space="preserve">the VTS Committee suggests </w:t>
      </w:r>
      <w:proofErr w:type="gramStart"/>
      <w:r w:rsidRPr="00F5488F">
        <w:rPr>
          <w:rFonts w:hint="eastAsia"/>
          <w:lang w:val="en-GB"/>
        </w:rPr>
        <w:t>to use</w:t>
      </w:r>
      <w:proofErr w:type="gramEnd"/>
      <w:r w:rsidRPr="00F5488F">
        <w:rPr>
          <w:rFonts w:hint="eastAsia"/>
          <w:lang w:val="en-GB"/>
        </w:rPr>
        <w:t xml:space="preserve"> </w:t>
      </w:r>
      <w:r w:rsidRPr="00F5488F">
        <w:rPr>
          <w:lang w:val="en-GB"/>
        </w:rPr>
        <w:t xml:space="preserve">known </w:t>
      </w:r>
      <w:r w:rsidRPr="00F5488F">
        <w:rPr>
          <w:rFonts w:hint="eastAsia"/>
          <w:lang w:val="en-GB"/>
        </w:rPr>
        <w:t xml:space="preserve">definitions and concepts instead of </w:t>
      </w:r>
      <w:r w:rsidRPr="00F5488F">
        <w:rPr>
          <w:lang w:val="en-GB"/>
        </w:rPr>
        <w:t>using concepts from other domains</w:t>
      </w:r>
      <w:r>
        <w:rPr>
          <w:lang w:val="en-GB"/>
        </w:rPr>
        <w:t xml:space="preserve"> e</w:t>
      </w:r>
      <w:r w:rsidRPr="00F5488F">
        <w:rPr>
          <w:lang w:val="en-GB"/>
        </w:rPr>
        <w:t xml:space="preserve">.g. </w:t>
      </w:r>
      <w:r>
        <w:rPr>
          <w:lang w:val="en-GB"/>
        </w:rPr>
        <w:t>v</w:t>
      </w:r>
      <w:r w:rsidRPr="00F5488F">
        <w:rPr>
          <w:lang w:val="en-GB"/>
        </w:rPr>
        <w:t xml:space="preserve">essels vs waterborne vehicles (2.1.1.). </w:t>
      </w:r>
    </w:p>
    <w:p w14:paraId="25691B34" w14:textId="77777777" w:rsidR="00B40CA4" w:rsidRDefault="00B40CA4" w:rsidP="00B40CA4">
      <w:pPr>
        <w:pStyle w:val="List1"/>
        <w:numPr>
          <w:ilvl w:val="0"/>
          <w:numId w:val="25"/>
        </w:numPr>
        <w:tabs>
          <w:tab w:val="clear" w:pos="851"/>
        </w:tabs>
        <w:rPr>
          <w:lang w:val="en-GB"/>
        </w:rPr>
      </w:pPr>
      <w:r>
        <w:rPr>
          <w:lang w:val="en-GB"/>
        </w:rPr>
        <w:t>Regarding the r</w:t>
      </w:r>
      <w:r w:rsidR="00FC2959" w:rsidRPr="004D27F7">
        <w:rPr>
          <w:lang w:val="en-GB"/>
        </w:rPr>
        <w:t xml:space="preserve">eferences on </w:t>
      </w:r>
      <w:r w:rsidR="00D66A6E" w:rsidRPr="004D27F7">
        <w:rPr>
          <w:lang w:val="en-GB"/>
        </w:rPr>
        <w:t>MASS</w:t>
      </w:r>
      <w:r w:rsidR="00FC2959" w:rsidRPr="004D27F7">
        <w:rPr>
          <w:lang w:val="en-GB"/>
        </w:rPr>
        <w:t>, autonomous ves</w:t>
      </w:r>
      <w:r>
        <w:rPr>
          <w:lang w:val="en-GB"/>
        </w:rPr>
        <w:t xml:space="preserve">sels and </w:t>
      </w:r>
      <w:proofErr w:type="gramStart"/>
      <w:r>
        <w:rPr>
          <w:lang w:val="en-GB"/>
        </w:rPr>
        <w:t>remote control</w:t>
      </w:r>
      <w:proofErr w:type="gramEnd"/>
      <w:r>
        <w:rPr>
          <w:lang w:val="en-GB"/>
        </w:rPr>
        <w:t xml:space="preserve"> centres, it should be determined whether this guidance should be </w:t>
      </w:r>
      <w:r w:rsidRPr="004D27F7">
        <w:rPr>
          <w:lang w:val="en-GB"/>
        </w:rPr>
        <w:t>incorporated in</w:t>
      </w:r>
      <w:r>
        <w:rPr>
          <w:lang w:val="en-GB"/>
        </w:rPr>
        <w:t>to</w:t>
      </w:r>
      <w:r w:rsidRPr="004D27F7">
        <w:rPr>
          <w:lang w:val="en-GB"/>
        </w:rPr>
        <w:t xml:space="preserve"> the holistic MASS</w:t>
      </w:r>
      <w:r>
        <w:rPr>
          <w:lang w:val="en-GB"/>
        </w:rPr>
        <w:t>/Digitalization</w:t>
      </w:r>
      <w:r w:rsidRPr="004D27F7">
        <w:rPr>
          <w:lang w:val="en-GB"/>
        </w:rPr>
        <w:t xml:space="preserve"> guideline</w:t>
      </w:r>
      <w:r>
        <w:rPr>
          <w:lang w:val="en-GB"/>
        </w:rPr>
        <w:t xml:space="preserve"> as the present title of the recommendation is drafted to be “</w:t>
      </w:r>
      <w:r w:rsidRPr="00B40CA4">
        <w:rPr>
          <w:lang w:val="en-GB"/>
        </w:rPr>
        <w:t xml:space="preserve">Digitalization of Marine </w:t>
      </w:r>
      <w:proofErr w:type="spellStart"/>
      <w:r w:rsidRPr="00B40CA4">
        <w:rPr>
          <w:lang w:val="en-GB"/>
        </w:rPr>
        <w:t>AtoN</w:t>
      </w:r>
      <w:proofErr w:type="spellEnd"/>
      <w:r w:rsidRPr="00B40CA4">
        <w:rPr>
          <w:lang w:val="en-GB"/>
        </w:rPr>
        <w:t xml:space="preserve"> to Enable Digital Navigation to include MASS</w:t>
      </w:r>
      <w:r>
        <w:rPr>
          <w:lang w:val="en-GB"/>
        </w:rPr>
        <w:t>”.</w:t>
      </w:r>
    </w:p>
    <w:p w14:paraId="4C456BA3" w14:textId="77777777" w:rsidR="00051452" w:rsidRDefault="00811D80" w:rsidP="00051452">
      <w:pPr>
        <w:pStyle w:val="List1"/>
        <w:numPr>
          <w:ilvl w:val="0"/>
          <w:numId w:val="25"/>
        </w:numPr>
        <w:tabs>
          <w:tab w:val="clear" w:pos="851"/>
        </w:tabs>
        <w:rPr>
          <w:lang w:val="en-GB"/>
        </w:rPr>
      </w:pPr>
      <w:r>
        <w:rPr>
          <w:lang w:val="en-GB"/>
        </w:rPr>
        <w:t xml:space="preserve">We have noticed that this guideline has been developed under task DTEC-7.1.2 </w:t>
      </w:r>
      <w:r w:rsidRPr="00811D80">
        <w:rPr>
          <w:lang w:val="en-GB"/>
        </w:rPr>
        <w:t>Develop guidance on Digital Fairway</w:t>
      </w:r>
      <w:r>
        <w:rPr>
          <w:lang w:val="en-GB"/>
        </w:rPr>
        <w:t xml:space="preserve">. We have also noticed </w:t>
      </w:r>
      <w:r w:rsidR="00051452">
        <w:rPr>
          <w:lang w:val="en-GB"/>
        </w:rPr>
        <w:t>a possible</w:t>
      </w:r>
      <w:r>
        <w:rPr>
          <w:lang w:val="en-GB"/>
        </w:rPr>
        <w:t xml:space="preserve"> relationship with task DTEC-7.1.1</w:t>
      </w:r>
      <w:r w:rsidR="00051452">
        <w:rPr>
          <w:lang w:val="en-GB"/>
        </w:rPr>
        <w:t xml:space="preserve"> </w:t>
      </w:r>
      <w:r w:rsidR="00051452" w:rsidRPr="00051452">
        <w:rPr>
          <w:lang w:val="en-GB"/>
        </w:rPr>
        <w:t>Develop a discussion paper on digitalisation in the scope of IALA</w:t>
      </w:r>
      <w:r w:rsidR="00051452">
        <w:rPr>
          <w:lang w:val="en-GB"/>
        </w:rPr>
        <w:t xml:space="preserve"> which is described to develop</w:t>
      </w:r>
      <w:r w:rsidR="00051452" w:rsidRPr="00051452">
        <w:rPr>
          <w:lang w:val="en-GB"/>
        </w:rPr>
        <w:t xml:space="preserve"> a vision for digitalization of shipping and maritime transportation</w:t>
      </w:r>
      <w:r w:rsidR="00051452">
        <w:rPr>
          <w:lang w:val="en-GB"/>
        </w:rPr>
        <w:t>. Considering the present title of the guideline, we would appreciate to get more information on the differences between these tasks and why “waterways” is being used instead of “fairway”.</w:t>
      </w:r>
      <w:r w:rsidR="00B40CA4">
        <w:rPr>
          <w:lang w:val="en-GB"/>
        </w:rPr>
        <w:t xml:space="preserve"> </w:t>
      </w:r>
    </w:p>
    <w:p w14:paraId="1E3F2C93" w14:textId="77777777" w:rsidR="00811D80" w:rsidRPr="00051452" w:rsidRDefault="00051452" w:rsidP="00051452">
      <w:pPr>
        <w:pStyle w:val="List1"/>
        <w:numPr>
          <w:ilvl w:val="0"/>
          <w:numId w:val="25"/>
        </w:numPr>
        <w:tabs>
          <w:tab w:val="clear" w:pos="851"/>
        </w:tabs>
        <w:rPr>
          <w:lang w:val="en-GB"/>
        </w:rPr>
      </w:pPr>
      <w:r>
        <w:rPr>
          <w:szCs w:val="22"/>
          <w:lang w:val="en-GB"/>
        </w:rPr>
        <w:t>The VTS Committee would be grateful if we could have the possibility to review the draft guideline at more sessions, perhaps as an inter-committee task, as this task is not included in our Work Programme for the moment.</w:t>
      </w:r>
    </w:p>
    <w:p w14:paraId="789DCD81" w14:textId="77777777" w:rsidR="00F5488F" w:rsidRPr="00D02BF4" w:rsidRDefault="00D02BF4" w:rsidP="00F5488F">
      <w:pPr>
        <w:pStyle w:val="BodyText"/>
        <w:rPr>
          <w:b/>
          <w:bCs/>
          <w:lang w:val="en-US"/>
        </w:rPr>
      </w:pPr>
      <w:r w:rsidRPr="00D02BF4">
        <w:rPr>
          <w:b/>
          <w:bCs/>
          <w:lang w:val="en-US"/>
        </w:rPr>
        <w:t>Specific comments and feedback</w:t>
      </w:r>
      <w:r w:rsidR="00F5488F" w:rsidRPr="00D02BF4">
        <w:rPr>
          <w:b/>
          <w:bCs/>
          <w:lang w:val="en-US"/>
        </w:rPr>
        <w:t>:</w:t>
      </w:r>
    </w:p>
    <w:p w14:paraId="58E1C05A" w14:textId="77777777" w:rsidR="00F5488F" w:rsidRPr="00F5488F" w:rsidRDefault="00F5488F" w:rsidP="003C7A74">
      <w:pPr>
        <w:pStyle w:val="List1"/>
        <w:numPr>
          <w:ilvl w:val="0"/>
          <w:numId w:val="26"/>
        </w:numPr>
        <w:tabs>
          <w:tab w:val="clear" w:pos="851"/>
        </w:tabs>
        <w:rPr>
          <w:lang w:val="en-GB"/>
        </w:rPr>
      </w:pPr>
      <w:r w:rsidRPr="00F5488F">
        <w:rPr>
          <w:lang w:val="en-GB"/>
        </w:rPr>
        <w:t>Digitalization Maturity Model introduced in section 2.1.3 and its application to all waterway entities as described in section 2.1.3.4 and any planned adoption of digitalization maturity models</w:t>
      </w:r>
      <w:r w:rsidR="003C7A74">
        <w:rPr>
          <w:lang w:val="en-GB"/>
        </w:rPr>
        <w:t>:</w:t>
      </w:r>
    </w:p>
    <w:p w14:paraId="679D2B83" w14:textId="77777777" w:rsidR="00F5488F" w:rsidRPr="00F5488F" w:rsidRDefault="00F5488F" w:rsidP="003C7A74">
      <w:pPr>
        <w:pStyle w:val="List1indent1"/>
        <w:numPr>
          <w:ilvl w:val="1"/>
          <w:numId w:val="26"/>
        </w:numPr>
        <w:tabs>
          <w:tab w:val="clear" w:pos="851"/>
        </w:tabs>
        <w:rPr>
          <w:lang w:val="en-GB"/>
        </w:rPr>
      </w:pPr>
      <w:r w:rsidRPr="00F5488F">
        <w:rPr>
          <w:rFonts w:hint="eastAsia"/>
          <w:lang w:val="en-GB"/>
        </w:rPr>
        <w:t xml:space="preserve">No </w:t>
      </w:r>
      <w:r w:rsidR="003C7A74">
        <w:rPr>
          <w:lang w:val="en-GB"/>
        </w:rPr>
        <w:t xml:space="preserve">specific </w:t>
      </w:r>
      <w:r w:rsidRPr="00F5488F">
        <w:rPr>
          <w:rFonts w:hint="eastAsia"/>
          <w:lang w:val="en-GB"/>
        </w:rPr>
        <w:t>comment on th</w:t>
      </w:r>
      <w:r w:rsidR="003C7A74">
        <w:rPr>
          <w:lang w:val="en-GB"/>
        </w:rPr>
        <w:t>e model</w:t>
      </w:r>
      <w:r w:rsidR="00B776A9">
        <w:rPr>
          <w:lang w:val="en-GB"/>
        </w:rPr>
        <w:t>, but it’s unclear what is meant by “waterway entities”</w:t>
      </w:r>
      <w:r w:rsidR="003C7A74">
        <w:rPr>
          <w:lang w:val="en-GB"/>
        </w:rPr>
        <w:t xml:space="preserve">. </w:t>
      </w:r>
    </w:p>
    <w:p w14:paraId="139B333C" w14:textId="77777777" w:rsidR="00F5488F" w:rsidRPr="00F5488F" w:rsidRDefault="00F5488F" w:rsidP="003C7A74">
      <w:pPr>
        <w:pStyle w:val="List1"/>
        <w:numPr>
          <w:ilvl w:val="0"/>
          <w:numId w:val="26"/>
        </w:numPr>
        <w:tabs>
          <w:tab w:val="clear" w:pos="851"/>
        </w:tabs>
        <w:rPr>
          <w:lang w:val="en-GB"/>
        </w:rPr>
      </w:pPr>
      <w:r w:rsidRPr="00F5488F">
        <w:rPr>
          <w:lang w:val="en-GB"/>
        </w:rPr>
        <w:t>Concept of digital model-shadow-twin introduced in section 3.1.1</w:t>
      </w:r>
      <w:r w:rsidR="003C7A74">
        <w:rPr>
          <w:lang w:val="en-GB"/>
        </w:rPr>
        <w:t>:</w:t>
      </w:r>
    </w:p>
    <w:p w14:paraId="440934D3" w14:textId="77777777" w:rsidR="00F5488F" w:rsidRPr="00F5488F" w:rsidRDefault="003C7A74" w:rsidP="003C7A74">
      <w:pPr>
        <w:pStyle w:val="List1indent1"/>
        <w:numPr>
          <w:ilvl w:val="1"/>
          <w:numId w:val="26"/>
        </w:numPr>
        <w:tabs>
          <w:tab w:val="clear" w:pos="851"/>
        </w:tabs>
        <w:rPr>
          <w:lang w:val="en-GB"/>
        </w:rPr>
      </w:pPr>
      <w:r>
        <w:rPr>
          <w:lang w:val="en-GB"/>
        </w:rPr>
        <w:t>The s</w:t>
      </w:r>
      <w:r w:rsidR="00F5488F" w:rsidRPr="00F5488F">
        <w:rPr>
          <w:lang w:val="en-GB"/>
        </w:rPr>
        <w:t xml:space="preserve">chema is </w:t>
      </w:r>
      <w:proofErr w:type="gramStart"/>
      <w:r w:rsidR="00F5488F" w:rsidRPr="00F5488F">
        <w:rPr>
          <w:lang w:val="en-GB"/>
        </w:rPr>
        <w:t>clear</w:t>
      </w:r>
      <w:proofErr w:type="gramEnd"/>
      <w:r w:rsidR="00F5488F" w:rsidRPr="00F5488F">
        <w:rPr>
          <w:lang w:val="en-GB"/>
        </w:rPr>
        <w:t xml:space="preserve"> but </w:t>
      </w:r>
      <w:r>
        <w:rPr>
          <w:lang w:val="en-GB"/>
        </w:rPr>
        <w:t>the explanations are</w:t>
      </w:r>
      <w:r w:rsidR="00F5488F" w:rsidRPr="00F5488F">
        <w:rPr>
          <w:lang w:val="en-GB"/>
        </w:rPr>
        <w:t xml:space="preserve"> very complex and </w:t>
      </w:r>
      <w:r>
        <w:rPr>
          <w:lang w:val="en-GB"/>
        </w:rPr>
        <w:t xml:space="preserve">difficult </w:t>
      </w:r>
      <w:r w:rsidR="00F5488F" w:rsidRPr="00F5488F">
        <w:rPr>
          <w:lang w:val="en-GB"/>
        </w:rPr>
        <w:t>to understand</w:t>
      </w:r>
      <w:r>
        <w:rPr>
          <w:lang w:val="en-GB"/>
        </w:rPr>
        <w:t>.</w:t>
      </w:r>
    </w:p>
    <w:p w14:paraId="303C6D0D" w14:textId="77777777" w:rsidR="00D02BF4" w:rsidRDefault="00F5488F" w:rsidP="003C7A74">
      <w:pPr>
        <w:pStyle w:val="List1"/>
        <w:numPr>
          <w:ilvl w:val="0"/>
          <w:numId w:val="26"/>
        </w:numPr>
        <w:tabs>
          <w:tab w:val="clear" w:pos="851"/>
        </w:tabs>
        <w:rPr>
          <w:lang w:val="en-GB"/>
        </w:rPr>
      </w:pPr>
      <w:r w:rsidRPr="00F5488F">
        <w:rPr>
          <w:lang w:val="en-GB"/>
        </w:rPr>
        <w:t xml:space="preserve">New terminology introduced related to </w:t>
      </w:r>
      <w:proofErr w:type="spellStart"/>
      <w:r w:rsidRPr="00F5488F">
        <w:rPr>
          <w:lang w:val="en-GB"/>
        </w:rPr>
        <w:t>AtoNs</w:t>
      </w:r>
      <w:proofErr w:type="spellEnd"/>
      <w:r w:rsidRPr="00F5488F">
        <w:rPr>
          <w:lang w:val="en-GB"/>
        </w:rPr>
        <w:t xml:space="preserve"> interacting with MASS in section 7.4 and its subsections</w:t>
      </w:r>
      <w:r w:rsidR="003C7A74">
        <w:rPr>
          <w:lang w:val="en-GB"/>
        </w:rPr>
        <w:t>:</w:t>
      </w:r>
      <w:r w:rsidR="00D02BF4">
        <w:rPr>
          <w:lang w:val="en-GB"/>
        </w:rPr>
        <w:t xml:space="preserve"> </w:t>
      </w:r>
    </w:p>
    <w:p w14:paraId="193062DE" w14:textId="77777777" w:rsidR="00E93C9B" w:rsidRPr="00D02BF4" w:rsidRDefault="00F5488F" w:rsidP="003C7A74">
      <w:pPr>
        <w:pStyle w:val="List1"/>
        <w:numPr>
          <w:ilvl w:val="1"/>
          <w:numId w:val="26"/>
        </w:numPr>
        <w:tabs>
          <w:tab w:val="clear" w:pos="851"/>
        </w:tabs>
        <w:rPr>
          <w:lang w:val="en-GB"/>
        </w:rPr>
      </w:pPr>
      <w:r w:rsidRPr="00D02BF4">
        <w:rPr>
          <w:lang w:val="en-GB"/>
        </w:rPr>
        <w:t xml:space="preserve">New terminology is confusing like ‘Smart Hectometre Stone’ </w:t>
      </w:r>
      <w:r w:rsidR="00B776A9">
        <w:rPr>
          <w:lang w:val="en-GB"/>
        </w:rPr>
        <w:t>which may only be used in inland waterways.</w:t>
      </w:r>
    </w:p>
    <w:p w14:paraId="704D9BA3" w14:textId="77777777" w:rsidR="009F5C36" w:rsidRPr="00AA2626" w:rsidRDefault="008E7A45" w:rsidP="002B0236">
      <w:pPr>
        <w:pStyle w:val="Heading1"/>
      </w:pPr>
      <w:r w:rsidRPr="00AA2626">
        <w:t>ACTION REQUESTED</w:t>
      </w:r>
    </w:p>
    <w:p w14:paraId="6C58B6DF" w14:textId="1EE984F8" w:rsidR="00F5488F" w:rsidRDefault="00CF2EDC" w:rsidP="00120C68">
      <w:pPr>
        <w:pStyle w:val="List1"/>
        <w:numPr>
          <w:ilvl w:val="0"/>
          <w:numId w:val="0"/>
        </w:numPr>
        <w:rPr>
          <w:lang w:val="en-US"/>
        </w:rPr>
      </w:pPr>
      <w:r>
        <w:rPr>
          <w:lang w:val="en-GB"/>
        </w:rPr>
        <w:t xml:space="preserve">The </w:t>
      </w:r>
      <w:r w:rsidR="00F5488F" w:rsidRPr="00120C68">
        <w:rPr>
          <w:lang w:val="en-GB"/>
        </w:rPr>
        <w:t xml:space="preserve">DTEC </w:t>
      </w:r>
      <w:r w:rsidR="00120C68" w:rsidRPr="00120C68">
        <w:rPr>
          <w:lang w:val="en-GB"/>
        </w:rPr>
        <w:t>C</w:t>
      </w:r>
      <w:r w:rsidR="00F5488F" w:rsidRPr="00120C68">
        <w:rPr>
          <w:lang w:val="en-GB"/>
        </w:rPr>
        <w:t xml:space="preserve">ommittee is </w:t>
      </w:r>
      <w:r w:rsidR="00120C68" w:rsidRPr="00120C68">
        <w:rPr>
          <w:lang w:val="en-GB"/>
        </w:rPr>
        <w:t xml:space="preserve">invited </w:t>
      </w:r>
      <w:r w:rsidR="00F5488F" w:rsidRPr="00120C68">
        <w:rPr>
          <w:lang w:val="en-GB"/>
        </w:rPr>
        <w:t>to</w:t>
      </w:r>
      <w:r w:rsidR="00120C68" w:rsidRPr="00120C68">
        <w:rPr>
          <w:lang w:val="en-GB"/>
        </w:rPr>
        <w:t xml:space="preserve"> </w:t>
      </w:r>
      <w:r w:rsidR="00120C68" w:rsidRPr="00120C68">
        <w:rPr>
          <w:lang w:val="en-US"/>
        </w:rPr>
        <w:t>c</w:t>
      </w:r>
      <w:r w:rsidR="00F5488F" w:rsidRPr="00120C68">
        <w:rPr>
          <w:lang w:val="en-US"/>
        </w:rPr>
        <w:t>onsider</w:t>
      </w:r>
      <w:r w:rsidR="00120C68" w:rsidRPr="00120C68">
        <w:rPr>
          <w:lang w:val="en-US"/>
        </w:rPr>
        <w:t xml:space="preserve"> </w:t>
      </w:r>
      <w:r>
        <w:rPr>
          <w:lang w:val="en-US"/>
        </w:rPr>
        <w:t>this</w:t>
      </w:r>
      <w:r w:rsidR="00F5488F" w:rsidRPr="00120C68">
        <w:rPr>
          <w:lang w:val="en-US"/>
        </w:rPr>
        <w:t xml:space="preserve"> </w:t>
      </w:r>
      <w:r w:rsidR="00120C68" w:rsidRPr="00120C68">
        <w:rPr>
          <w:lang w:val="en-US"/>
        </w:rPr>
        <w:t xml:space="preserve">response </w:t>
      </w:r>
      <w:r>
        <w:rPr>
          <w:lang w:val="en-US"/>
        </w:rPr>
        <w:t xml:space="preserve">and provide feedback to </w:t>
      </w:r>
      <w:r w:rsidRPr="00120C68">
        <w:rPr>
          <w:lang w:val="en-US"/>
        </w:rPr>
        <w:t>the VTS Committee</w:t>
      </w:r>
      <w:r w:rsidR="00120C68">
        <w:rPr>
          <w:lang w:val="en-US"/>
        </w:rPr>
        <w:t>.</w:t>
      </w:r>
    </w:p>
    <w:p w14:paraId="0A61E525" w14:textId="3195CB43" w:rsidR="00CF2EDC" w:rsidRDefault="00CF2EDC" w:rsidP="00120C68">
      <w:pPr>
        <w:pStyle w:val="List1"/>
        <w:numPr>
          <w:ilvl w:val="0"/>
          <w:numId w:val="0"/>
        </w:numPr>
        <w:rPr>
          <w:lang w:val="en-US"/>
        </w:rPr>
      </w:pPr>
      <w:r>
        <w:rPr>
          <w:lang w:val="en-US"/>
        </w:rPr>
        <w:t xml:space="preserve">That the DTEC Committee </w:t>
      </w:r>
      <w:proofErr w:type="gramStart"/>
      <w:r>
        <w:rPr>
          <w:lang w:val="en-US"/>
        </w:rPr>
        <w:t>consider</w:t>
      </w:r>
      <w:proofErr w:type="gramEnd"/>
      <w:r>
        <w:rPr>
          <w:lang w:val="en-US"/>
        </w:rPr>
        <w:t xml:space="preserve"> an inter-committee task group on this task and invite VTS Committee participation.</w:t>
      </w:r>
    </w:p>
    <w:p w14:paraId="6CC6DB4F" w14:textId="49C83197" w:rsidR="00CF2EDC" w:rsidRPr="00120C68" w:rsidRDefault="00CF2EDC" w:rsidP="00120C68">
      <w:pPr>
        <w:pStyle w:val="List1"/>
        <w:numPr>
          <w:ilvl w:val="0"/>
          <w:numId w:val="0"/>
        </w:numPr>
        <w:rPr>
          <w:lang w:val="en-GB"/>
        </w:rPr>
      </w:pPr>
    </w:p>
    <w:sectPr w:rsidR="00CF2EDC" w:rsidRPr="00120C68"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2ED8A" w14:textId="77777777" w:rsidR="00FC2657" w:rsidRDefault="00FC2657" w:rsidP="002B0236">
      <w:r>
        <w:separator/>
      </w:r>
    </w:p>
  </w:endnote>
  <w:endnote w:type="continuationSeparator" w:id="0">
    <w:p w14:paraId="22508BC2" w14:textId="77777777" w:rsidR="00FC2657" w:rsidRDefault="00FC2657"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D1487"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2D461" w14:textId="77777777" w:rsidR="00002906" w:rsidRDefault="00002906" w:rsidP="002B0236">
    <w:pPr>
      <w:pStyle w:val="Footer"/>
    </w:pPr>
    <w:r>
      <w:tab/>
    </w:r>
    <w:r>
      <w:fldChar w:fldCharType="begin"/>
    </w:r>
    <w:r>
      <w:instrText xml:space="preserve"> PAGE   \* MERGEFORMAT </w:instrText>
    </w:r>
    <w:r>
      <w:fldChar w:fldCharType="separate"/>
    </w:r>
    <w:r w:rsidR="00FC2657">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6A33"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8BFEC" w14:textId="77777777" w:rsidR="00FC2657" w:rsidRDefault="00FC2657" w:rsidP="002B0236">
      <w:r>
        <w:separator/>
      </w:r>
    </w:p>
  </w:footnote>
  <w:footnote w:type="continuationSeparator" w:id="0">
    <w:p w14:paraId="1A89A7D8" w14:textId="77777777" w:rsidR="00FC2657" w:rsidRDefault="00FC2657"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B1B8B" w14:textId="150847B7"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40E57" w14:textId="79B3E69B" w:rsidR="008E7A45" w:rsidRDefault="00A20D4D" w:rsidP="002B0236">
    <w:pPr>
      <w:pStyle w:val="Header"/>
    </w:pPr>
    <w:r>
      <w:rPr>
        <w:noProof/>
      </w:rPr>
      <w:drawing>
        <wp:inline distT="0" distB="0" distL="0" distR="0" wp14:anchorId="36DD6C74" wp14:editId="2602AF99">
          <wp:extent cx="850900" cy="8255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9866F" w14:textId="2AD3A907"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181711"/>
    <w:multiLevelType w:val="hybridMultilevel"/>
    <w:tmpl w:val="5BC622A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26943073"/>
    <w:multiLevelType w:val="hybridMultilevel"/>
    <w:tmpl w:val="D938CA1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B7E32C5"/>
    <w:multiLevelType w:val="hybridMultilevel"/>
    <w:tmpl w:val="E8C4629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443527188">
    <w:abstractNumId w:val="11"/>
  </w:num>
  <w:num w:numId="2" w16cid:durableId="186676211">
    <w:abstractNumId w:val="16"/>
  </w:num>
  <w:num w:numId="3" w16cid:durableId="1161850667">
    <w:abstractNumId w:val="11"/>
  </w:num>
  <w:num w:numId="4" w16cid:durableId="1897011341">
    <w:abstractNumId w:val="11"/>
  </w:num>
  <w:num w:numId="5" w16cid:durableId="1738939235">
    <w:abstractNumId w:val="6"/>
  </w:num>
  <w:num w:numId="6" w16cid:durableId="1335375059">
    <w:abstractNumId w:val="12"/>
  </w:num>
  <w:num w:numId="7" w16cid:durableId="1316765931">
    <w:abstractNumId w:val="9"/>
  </w:num>
  <w:num w:numId="8" w16cid:durableId="1394309240">
    <w:abstractNumId w:val="0"/>
  </w:num>
  <w:num w:numId="9" w16cid:durableId="1121725428">
    <w:abstractNumId w:val="5"/>
  </w:num>
  <w:num w:numId="10" w16cid:durableId="42601181">
    <w:abstractNumId w:val="13"/>
  </w:num>
  <w:num w:numId="11" w16cid:durableId="726222496">
    <w:abstractNumId w:val="1"/>
  </w:num>
  <w:num w:numId="12" w16cid:durableId="1237125823">
    <w:abstractNumId w:val="1"/>
  </w:num>
  <w:num w:numId="13" w16cid:durableId="1640377376">
    <w:abstractNumId w:val="1"/>
  </w:num>
  <w:num w:numId="14" w16cid:durableId="1838424019">
    <w:abstractNumId w:val="1"/>
  </w:num>
  <w:num w:numId="15" w16cid:durableId="1193030991">
    <w:abstractNumId w:val="1"/>
  </w:num>
  <w:num w:numId="16" w16cid:durableId="848451244">
    <w:abstractNumId w:val="7"/>
  </w:num>
  <w:num w:numId="17" w16cid:durableId="1812869848">
    <w:abstractNumId w:val="15"/>
  </w:num>
  <w:num w:numId="18" w16cid:durableId="1370957632">
    <w:abstractNumId w:val="4"/>
  </w:num>
  <w:num w:numId="19" w16cid:durableId="1419011764">
    <w:abstractNumId w:val="14"/>
  </w:num>
  <w:num w:numId="20" w16cid:durableId="1047530894">
    <w:abstractNumId w:val="10"/>
  </w:num>
  <w:num w:numId="21" w16cid:durableId="1698890126">
    <w:abstractNumId w:val="7"/>
  </w:num>
  <w:num w:numId="22" w16cid:durableId="1292129230">
    <w:abstractNumId w:val="7"/>
  </w:num>
  <w:num w:numId="23" w16cid:durableId="13092448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69805302">
    <w:abstractNumId w:val="2"/>
  </w:num>
  <w:num w:numId="25" w16cid:durableId="1358387121">
    <w:abstractNumId w:val="3"/>
  </w:num>
  <w:num w:numId="26" w16cid:durableId="12105336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31A92"/>
    <w:rsid w:val="000348ED"/>
    <w:rsid w:val="00036801"/>
    <w:rsid w:val="00050DA7"/>
    <w:rsid w:val="00051452"/>
    <w:rsid w:val="00061B92"/>
    <w:rsid w:val="000A5A01"/>
    <w:rsid w:val="001037D4"/>
    <w:rsid w:val="00120C68"/>
    <w:rsid w:val="00135447"/>
    <w:rsid w:val="001377C6"/>
    <w:rsid w:val="00152273"/>
    <w:rsid w:val="001A654A"/>
    <w:rsid w:val="001B6AFD"/>
    <w:rsid w:val="001C74CF"/>
    <w:rsid w:val="0023216B"/>
    <w:rsid w:val="002B0236"/>
    <w:rsid w:val="002F106E"/>
    <w:rsid w:val="00351F3A"/>
    <w:rsid w:val="0038369E"/>
    <w:rsid w:val="003960EF"/>
    <w:rsid w:val="003C0B2A"/>
    <w:rsid w:val="003C7A74"/>
    <w:rsid w:val="003D5272"/>
    <w:rsid w:val="003D55DD"/>
    <w:rsid w:val="003E1831"/>
    <w:rsid w:val="00424954"/>
    <w:rsid w:val="004C1386"/>
    <w:rsid w:val="004C220D"/>
    <w:rsid w:val="004D27F7"/>
    <w:rsid w:val="005858CB"/>
    <w:rsid w:val="005D05AC"/>
    <w:rsid w:val="005D4953"/>
    <w:rsid w:val="0060316D"/>
    <w:rsid w:val="0062580B"/>
    <w:rsid w:val="00630F7F"/>
    <w:rsid w:val="00635A32"/>
    <w:rsid w:val="0064435F"/>
    <w:rsid w:val="006D470F"/>
    <w:rsid w:val="00727E88"/>
    <w:rsid w:val="00775878"/>
    <w:rsid w:val="007A7E72"/>
    <w:rsid w:val="007D5B23"/>
    <w:rsid w:val="0080092C"/>
    <w:rsid w:val="00811D80"/>
    <w:rsid w:val="00813B7B"/>
    <w:rsid w:val="00872453"/>
    <w:rsid w:val="00891785"/>
    <w:rsid w:val="008D5628"/>
    <w:rsid w:val="008E7A45"/>
    <w:rsid w:val="008F13DD"/>
    <w:rsid w:val="008F4DC3"/>
    <w:rsid w:val="009027E5"/>
    <w:rsid w:val="00902AA4"/>
    <w:rsid w:val="00906239"/>
    <w:rsid w:val="0097429F"/>
    <w:rsid w:val="009D3A29"/>
    <w:rsid w:val="009F3B6C"/>
    <w:rsid w:val="009F5C36"/>
    <w:rsid w:val="00A2040F"/>
    <w:rsid w:val="00A20D4D"/>
    <w:rsid w:val="00A27F12"/>
    <w:rsid w:val="00A30579"/>
    <w:rsid w:val="00AA2626"/>
    <w:rsid w:val="00AA76C0"/>
    <w:rsid w:val="00AF4560"/>
    <w:rsid w:val="00B077EC"/>
    <w:rsid w:val="00B15B24"/>
    <w:rsid w:val="00B40CA4"/>
    <w:rsid w:val="00B428DA"/>
    <w:rsid w:val="00B776A9"/>
    <w:rsid w:val="00B8247E"/>
    <w:rsid w:val="00BE56DF"/>
    <w:rsid w:val="00BF5ABF"/>
    <w:rsid w:val="00C265EE"/>
    <w:rsid w:val="00CA04AF"/>
    <w:rsid w:val="00CF2EDC"/>
    <w:rsid w:val="00D02BF4"/>
    <w:rsid w:val="00D06D34"/>
    <w:rsid w:val="00D64507"/>
    <w:rsid w:val="00D66A6E"/>
    <w:rsid w:val="00E729A7"/>
    <w:rsid w:val="00E93C9B"/>
    <w:rsid w:val="00EB7918"/>
    <w:rsid w:val="00EE3F2F"/>
    <w:rsid w:val="00F5488F"/>
    <w:rsid w:val="00F73F78"/>
    <w:rsid w:val="00F950CB"/>
    <w:rsid w:val="00FA5842"/>
    <w:rsid w:val="00FA6769"/>
    <w:rsid w:val="00FB4123"/>
    <w:rsid w:val="00FC2657"/>
    <w:rsid w:val="00FC2959"/>
    <w:rsid w:val="00FD03CA"/>
    <w:rsid w:val="00FF11C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71FE80"/>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65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D65CE8-6B4B-4722-BFF9-35CD022FBE5B}">
  <ds:schemaRefs>
    <ds:schemaRef ds:uri="http://schemas.microsoft.com/sharepoint/v3/contenttype/forms"/>
  </ds:schemaRefs>
</ds:datastoreItem>
</file>

<file path=customXml/itemProps2.xml><?xml version="1.0" encoding="utf-8"?>
<ds:datastoreItem xmlns:ds="http://schemas.openxmlformats.org/officeDocument/2006/customXml" ds:itemID="{8A0E95F4-21B9-4E45-AF5C-237A855CF46C}">
  <ds:schemaRefs>
    <ds:schemaRef ds:uri="http://www.w3.org/XML/1998/namespace"/>
    <ds:schemaRef ds:uri="http://schemas.microsoft.com/office/2006/documentManagement/types"/>
    <ds:schemaRef ds:uri="http://purl.org/dc/terms/"/>
    <ds:schemaRef ds:uri="d28ec9c1-bfc1-409f-9a28-72abbcb0f7a8"/>
    <ds:schemaRef ds:uri="http://purl.org/dc/dcmityp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c4f15f2a-0e00-4cd9-aa2e-c7f3d494fcc8"/>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EE54EF1C-1795-474E-9FD8-10FC6AFE4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0</TotalTime>
  <Pages>2</Pages>
  <Words>686</Words>
  <Characters>3848</Characters>
  <Application>Microsoft Office Word</Application>
  <DocSecurity>0</DocSecurity>
  <Lines>64</Lines>
  <Paragraphs>38</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3</cp:revision>
  <cp:lastPrinted>2006-10-19T11:49:00Z</cp:lastPrinted>
  <dcterms:created xsi:type="dcterms:W3CDTF">2025-03-21T11:51:00Z</dcterms:created>
  <dcterms:modified xsi:type="dcterms:W3CDTF">2025-03-21T12:13:00Z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